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outlineLvl w:val="1"/>
        <w:rPr>
          <w:rFonts w:ascii="宋体" w:hAnsi="宋体" w:cs="宋体"/>
          <w:b/>
          <w:bCs/>
          <w:szCs w:val="24"/>
        </w:rPr>
      </w:pPr>
      <w:bookmarkStart w:id="0" w:name="_Toc1081"/>
      <w:bookmarkStart w:id="1" w:name="_Toc22682"/>
      <w:r>
        <w:rPr>
          <w:rFonts w:hint="eastAsia" w:ascii="宋体" w:hAnsi="宋体" w:cs="宋体"/>
          <w:b/>
          <w:bCs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4"/>
          <w:w w:val="12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szCs w:val="24"/>
        </w:rPr>
        <w:t>系统登录</w:t>
      </w:r>
      <w:r>
        <w:rPr>
          <w:rFonts w:ascii="宋体" w:hAnsi="宋体" w:cs="宋体"/>
          <w:b/>
          <w:bCs/>
          <w:szCs w:val="24"/>
        </w:rPr>
        <w:tab/>
      </w:r>
    </w:p>
    <w:p>
      <w:pPr>
        <w:pStyle w:val="2"/>
        <w:spacing w:line="24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sz w:val="21"/>
          <w:szCs w:val="21"/>
        </w:rPr>
        <w:t>在360浏览器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</w:rPr>
        <w:t>极速模式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或谷歌浏览器下登录</w:t>
      </w:r>
      <w:r>
        <w:rPr>
          <w:rFonts w:hint="eastAsia" w:ascii="宋体" w:hAnsi="宋体" w:cs="宋体"/>
          <w:b/>
          <w:bCs/>
          <w:szCs w:val="24"/>
        </w:rPr>
        <w:t>。</w:t>
      </w:r>
    </w:p>
    <w:p>
      <w:pPr>
        <w:spacing w:before="312"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正式系统地址：https://hr.jxhrss.gov.cn/zcxt</w:t>
      </w:r>
      <w:r>
        <w:rPr>
          <w:rFonts w:hint="eastAsia"/>
          <w:sz w:val="21"/>
          <w:szCs w:val="21"/>
        </w:rPr>
        <w:tab/>
      </w:r>
      <w:bookmarkStart w:id="2" w:name="_GoBack"/>
      <w:bookmarkEnd w:id="2"/>
    </w:p>
    <w:p>
      <w:pPr>
        <w:spacing w:before="100" w:after="100" w:line="240" w:lineRule="auto"/>
        <w:ind w:firstLine="0" w:firstLineChars="0"/>
        <w:outlineLvl w:val="1"/>
        <w:rPr>
          <w:rFonts w:ascii="Times New Roman" w:hAnsi="Times New Roman" w:cs="Times New Roman"/>
          <w:b/>
          <w:bCs/>
          <w:szCs w:val="24"/>
        </w:rPr>
      </w:pPr>
    </w:p>
    <w:p>
      <w:pPr>
        <w:spacing w:before="100" w:after="100" w:line="240" w:lineRule="auto"/>
        <w:ind w:firstLine="0" w:firstLineChars="0"/>
        <w:outlineLvl w:val="1"/>
        <w:rPr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-4"/>
          <w:w w:val="12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szCs w:val="24"/>
        </w:rPr>
        <w:t>业务流程</w:t>
      </w:r>
      <w:bookmarkEnd w:id="0"/>
      <w:bookmarkEnd w:id="1"/>
    </w:p>
    <w:p>
      <w:pPr>
        <w:spacing w:before="312"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顶层业务流程如图1-2：</w:t>
      </w:r>
    </w:p>
    <w:p>
      <w:pPr>
        <w:pStyle w:val="5"/>
        <w:keepNext/>
        <w:spacing w:line="240" w:lineRule="auto"/>
        <w:rPr>
          <w:rFonts w:ascii="宋体" w:hAnsi="宋体" w:cs="宋体"/>
          <w:b/>
          <w:bCs/>
          <w:szCs w:val="24"/>
        </w:rPr>
      </w:pPr>
      <w:r>
        <w:drawing>
          <wp:inline distT="0" distB="0" distL="114300" distR="114300">
            <wp:extent cx="5267960" cy="3684905"/>
            <wp:effectExtent l="0" t="0" r="8890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Lines="50" w:afterLines="50" w:line="240" w:lineRule="auto"/>
        <w:ind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rFonts w:ascii="Times New Roman" w:hAnsi="Times New Roman" w:cs="Times New Roman"/>
          <w:sz w:val="21"/>
          <w:szCs w:val="21"/>
        </w:rPr>
        <w:t xml:space="preserve">1-2 </w:t>
      </w:r>
      <w:r>
        <w:rPr>
          <w:rFonts w:hint="eastAsia"/>
          <w:sz w:val="21"/>
          <w:szCs w:val="21"/>
        </w:rPr>
        <w:t>顶层业务流程图</w:t>
      </w:r>
    </w:p>
    <w:p>
      <w:pPr>
        <w:spacing w:before="312" w:line="240" w:lineRule="auto"/>
      </w:pPr>
      <w:r>
        <w:rPr>
          <w:rFonts w:hint="eastAsia"/>
        </w:rPr>
        <w:t>关于业务流程说明如下：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职称申报者需要其基层单位（也可是其申报单位）为其建立帐户、并把帐户/密码通知申报者，申报者才能使用系统申报</w:t>
      </w:r>
      <w:r>
        <w:rPr>
          <w:rFonts w:hint="eastAsia"/>
          <w:sz w:val="22"/>
        </w:rPr>
        <w:t>；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“各级审查*”根据申报者的不同情况会自动走相应的审查流程,每一级资格审查都要先经办人审查再经领导审查，其中申报单位还需要经办人做公示处理；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审查结果有“通过”、“不通过”、“退回修改”、“打入黑名单”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/>
          <w:sz w:val="21"/>
          <w:szCs w:val="21"/>
        </w:rPr>
        <w:t>种情况</w:t>
      </w:r>
      <w:r>
        <w:rPr>
          <w:rFonts w:hint="eastAsia"/>
          <w:sz w:val="22"/>
        </w:rPr>
        <w:t>；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主管部门及以上机构“退回修改”是先退回到申报单位，再由申报单位退回到个人，再次提交审查时也是先提交给申报单位，再由申报单位提交到首发“退回修改”部门审查。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退回重审时可以指定应修改的部分，没有指定的部分不得修改；但申报单位及以下机构首次退回或审定人员被退回，可以全部修改；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评委会分配是自动进行的，但最后一级机构审查时可以修改评委会；</w:t>
      </w:r>
    </w:p>
    <w:p>
      <w:pPr>
        <w:spacing w:line="240" w:lineRule="auto"/>
        <w:ind w:firstLine="420"/>
        <w:rPr>
          <w:sz w:val="22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Fonts w:hint="eastAsia"/>
          <w:sz w:val="21"/>
          <w:szCs w:val="21"/>
        </w:rPr>
        <w:t>不管前面的机构审查流程如何，除认定外最后都必须经过评委会审查，评委会可以退回或通过，退回是退到最后审查机构</w:t>
      </w:r>
      <w:r>
        <w:rPr>
          <w:rFonts w:hint="eastAsia"/>
          <w:sz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604E8"/>
    <w:rsid w:val="31F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48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420"/>
    </w:pPr>
  </w:style>
  <w:style w:type="paragraph" w:customStyle="1" w:styleId="5">
    <w:name w:val="列出段落1"/>
    <w:basedOn w:val="1"/>
    <w:qFormat/>
    <w:uiPriority w:val="34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2020-06-03T01:14:00Z</dcterms:created>
  <dc:creator>WPS_1528198943</dc:creator>
  <cp:lastModifiedBy>WPS_1528198943</cp:lastModifiedBy>
  <dcterms:modified xsi:type="dcterms:W3CDTF">2020-06-03T01:15:55Z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